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DF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一、技术要求</w:t>
      </w:r>
    </w:p>
    <w:p w14:paraId="1C5E9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（一）技术要求</w:t>
      </w:r>
    </w:p>
    <w:p w14:paraId="6FA8F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1. 铝合金静音浴帘杆（30×25mm）</w:t>
      </w:r>
    </w:p>
    <w:p w14:paraId="2D7AB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（1）材质要求：采用铝合金型材，管壁厚度应满足承重要求，表面应经过抗氧化处理，耐腐蚀、不易生锈。</w:t>
      </w:r>
    </w:p>
    <w:p w14:paraId="674CC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（2）规格尺寸：截面尺寸为30×25mm，长度根据现场实际安装尺寸确定。</w:t>
      </w:r>
    </w:p>
    <w:p w14:paraId="3A26D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（3）安装方式：采用侧装打孔固定方式，使用膨胀螺丝将浴帘杆固定于墙面。每间顶面使用2个铝合金角码加固在原有金属水平杆上，确保安装牢固、承重可靠。</w:t>
      </w:r>
    </w:p>
    <w:p w14:paraId="75C8A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（4）静音要求：浴帘杆滑动系统应具备静音功能，拉帘顺滑不卡顿。</w:t>
      </w:r>
    </w:p>
    <w:p w14:paraId="012D5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（5）承重要求：能够承受浴帘及挂环的全部重量，长期使用不变形、不松动。</w:t>
      </w:r>
    </w:p>
    <w:p w14:paraId="20D75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2. 纳米防水抗菌防霉浴帘</w:t>
      </w:r>
    </w:p>
    <w:p w14:paraId="0D9BB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（1）基材要求：采用聚酯纤维（涤纶） 作为基材。涤纶分子结构致密、结晶度高，天然具备低吸湿性（吸湿率低于0.4%），抗潮、抗霉、抗皱性能优良。</w:t>
      </w:r>
    </w:p>
    <w:p w14:paraId="03BB2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（2）功能要求：</w:t>
      </w:r>
    </w:p>
    <w:p w14:paraId="42032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防水：面料须经纳米级防水涂层处理，水珠在表面自然滚落，不渗透、不滞留。</w:t>
      </w:r>
    </w:p>
    <w:p w14:paraId="41026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抗菌防霉：须添加抗菌助剂或经特殊后整理工艺处理，防霉等级须等于或优于1级。</w:t>
      </w:r>
    </w:p>
    <w:p w14:paraId="6A159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面料应阻断霉菌生存链，湿气不滞留，霉菌无处附着。</w:t>
      </w:r>
    </w:p>
    <w:p w14:paraId="462A6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（3）尺寸要求：浴帘尺寸为900×1700mm（宽×高）。</w:t>
      </w:r>
    </w:p>
    <w:p w14:paraId="1ECDD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（4）褶皱要求：面料宽度须按照1.5-1.8倍褶皱进行制作。即成品浴帘的实际布料宽度应为安装宽度的1.5至1.8倍，以确保悬挂后具有饱满的垂坠感和美观的褶皱效果。</w:t>
      </w:r>
    </w:p>
    <w:p w14:paraId="3DBA8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（5）安全要求：</w:t>
      </w:r>
    </w:p>
    <w:p w14:paraId="0B712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pH值应符合国家标准（4.0-7.5范围内）。</w:t>
      </w:r>
    </w:p>
    <w:p w14:paraId="339F0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可分解致癌芳香胺染料：禁用。</w:t>
      </w:r>
    </w:p>
    <w:p w14:paraId="4A032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应符合GB 18401-2010《国家纺织产品基本安全技术规范》等相关标准。</w:t>
      </w:r>
    </w:p>
    <w:p w14:paraId="3FF82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（6）品牌要求：浴帘品牌须为金燕。</w:t>
      </w:r>
    </w:p>
    <w:p w14:paraId="73F59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3. 铝合金滚珠挂环</w:t>
      </w:r>
    </w:p>
    <w:p w14:paraId="38D41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（1）材质：采用铝合金材质，表面防锈处理，经久耐用。</w:t>
      </w:r>
    </w:p>
    <w:p w14:paraId="618EF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（2）结构：采用滚珠式设计，每个挂环应配有滚珠（如5珠葫芦式），确保滑动顺滑、不卡顿、不划伤浴帘杆。</w:t>
      </w:r>
    </w:p>
    <w:p w14:paraId="52DAE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（3）数量：每套浴帘配套足够数量的挂环，确保浴帘悬挂平整、受力均匀。</w:t>
      </w:r>
    </w:p>
    <w:p w14:paraId="43CA1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4. 安装五金辅材</w:t>
      </w:r>
    </w:p>
    <w:p w14:paraId="6AFAC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（1）全部安装所需五金辅材由供应商提供，包括但不限于：膨胀螺丝、铝合金角码（每间2个）、固定螺丝、支架等。</w:t>
      </w:r>
    </w:p>
    <w:p w14:paraId="1CF5B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（2）五金辅材须为合格产品，具备足够的强度和耐腐蚀性。</w:t>
      </w:r>
    </w:p>
    <w:p w14:paraId="752B8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（二）安装要求</w:t>
      </w:r>
    </w:p>
    <w:p w14:paraId="171DC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供应商负责全部405套浴帘及浴帘杆的现场安装工作。</w:t>
      </w:r>
    </w:p>
    <w:p w14:paraId="181F1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安装前须对安装位置进行精准测量和定位，确保浴帘杆安装水平、牢固。</w:t>
      </w:r>
    </w:p>
    <w:p w14:paraId="5B2FA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浴帘杆采用侧装打孔固定方式，每间顶面使用2个铝合金角码加固在原金属水平杆上。</w:t>
      </w:r>
    </w:p>
    <w:p w14:paraId="645C0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安装后浴帘底部离地建议不少于40厘米。</w:t>
      </w:r>
    </w:p>
    <w:p w14:paraId="3C7E2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安装过程中不得损坏原有墙面及设施，如有损坏由供应商负责修复。</w:t>
      </w:r>
    </w:p>
    <w:p w14:paraId="4C1BF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安装完成后须进行调试，确保浴帘推拉顺畅、挂环滑动静音无声。</w:t>
      </w:r>
    </w:p>
    <w:p w14:paraId="36BD6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二、报价要求</w:t>
      </w:r>
    </w:p>
    <w:p w14:paraId="32592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供应商须按采购清单分项报价，并汇总总价。</w:t>
      </w:r>
    </w:p>
    <w:p w14:paraId="2E4BF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报价须为人民币含税全包价，包含：货物费、运输费、装卸费、安装费、五金辅材费、售后服务费及税金等一切费用。</w:t>
      </w:r>
    </w:p>
    <w:p w14:paraId="1E570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三、供应商资格要求</w:t>
      </w:r>
    </w:p>
    <w:p w14:paraId="7C129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供应商须为在中华人民共和国境内注册，具有独立法人资格的企业。</w:t>
      </w:r>
    </w:p>
    <w:p w14:paraId="28355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供应商须具有同类项目的供货及安装经验（提供相关业绩证明优先）。</w:t>
      </w:r>
    </w:p>
    <w:p w14:paraId="6E8B8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供应商所供产品须为合格正品，提供产品合格证明及检测报告。</w:t>
      </w:r>
    </w:p>
    <w:p w14:paraId="5C52C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四、交货及验收</w:t>
      </w:r>
    </w:p>
    <w:p w14:paraId="4865D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交货时间：合同签订后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个工作日内完成供货及安装（由采购方根据实际需求填写）。</w:t>
      </w:r>
    </w:p>
    <w:p w14:paraId="49E72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交货地点：南京市高淳区鹿鸣大道33号。</w:t>
      </w:r>
    </w:p>
    <w:p w14:paraId="42578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验收标准：</w:t>
      </w:r>
    </w:p>
    <w:p w14:paraId="57300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产品品牌、规格、型号、数量与采购需求一致；</w:t>
      </w:r>
    </w:p>
    <w:p w14:paraId="62182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浴帘杆安装牢固、水平，推拉顺畅；</w:t>
      </w:r>
    </w:p>
    <w:p w14:paraId="47F16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浴帘面料符合防水抗菌防霉要求，褶皱效果达标；</w:t>
      </w:r>
    </w:p>
    <w:p w14:paraId="241BB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全部安装工作完成，现场清理干净。</w:t>
      </w:r>
    </w:p>
    <w:p w14:paraId="28620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验收不合格的，供应商须在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日内完成整改或更换。</w:t>
      </w:r>
    </w:p>
    <w:p w14:paraId="2608B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五、售后服务</w:t>
      </w:r>
    </w:p>
    <w:p w14:paraId="6092A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供应商须提供不少于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/>
        </w:rPr>
        <w:t>2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个月的质保期（自验收合格之日起计算）。</w:t>
      </w:r>
    </w:p>
    <w:p w14:paraId="0BB4F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质保期内出现产品质量问题或安装问题，供应商须在接到通知后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小时内响应，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日内完成维修或更换。</w:t>
      </w:r>
    </w:p>
    <w:p w14:paraId="1F3E9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/>
        </w:rPr>
        <w:t>质保期外提供终身有偿维修服务。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000000"/>
    <w:rsid w:val="219A5E3B"/>
    <w:rsid w:val="4D41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1441</Words>
  <Characters>1496</Characters>
  <Paragraphs>56</Paragraphs>
  <TotalTime>19</TotalTime>
  <ScaleCrop>false</ScaleCrop>
  <LinksUpToDate>false</LinksUpToDate>
  <CharactersWithSpaces>1502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2025-12-04T03:04:00Z</dcterms:created>
  <dc:creator>stanly</dc:creator>
  <cp:lastModifiedBy>stanly</cp:lastModifiedBy>
  <dcterms:modified xsi:type="dcterms:W3CDTF">2026-08-07T07:39:38Z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8ecba4b525614db49f5bff4789ab0f34_23</vt:lpwstr>
  </property>
  <property fmtid="{D5CDD505-2E9C-101B-9397-08002B2CF9AE}" pid="4" name="KSOTemplateDocerSaveRecord">
    <vt:lpwstr>eyJoZGlkIjoiOWM3NzFmNjVlYzQ0NmFkYWIzMjJlOWE1MjU1YWJkZDciLCJ1c2VySWQiOiIyNzYzNjA2NjgifQ==</vt:lpwstr>
  </property>
</Properties>
</file>